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C14F9" w14:textId="493996A4" w:rsidR="002A6E64" w:rsidRPr="006C4BAD" w:rsidRDefault="002A6E64" w:rsidP="002A6E64">
      <w:pPr>
        <w:tabs>
          <w:tab w:val="right" w:pos="9630"/>
        </w:tabs>
        <w:rPr>
          <w:b/>
        </w:rPr>
      </w:pPr>
      <w:r w:rsidRPr="006C4BAD">
        <w:rPr>
          <w:b/>
        </w:rPr>
        <w:t>3GPP TSG RAN WG1 #9</w:t>
      </w:r>
      <w:r>
        <w:rPr>
          <w:b/>
        </w:rPr>
        <w:t>5</w:t>
      </w:r>
      <w:r w:rsidRPr="006C4BAD">
        <w:rPr>
          <w:b/>
        </w:rPr>
        <w:tab/>
        <w:t>R1-</w:t>
      </w:r>
      <w:r>
        <w:rPr>
          <w:b/>
        </w:rPr>
        <w:t>181</w:t>
      </w:r>
      <w:r w:rsidR="00D21491">
        <w:rPr>
          <w:b/>
        </w:rPr>
        <w:t>4192</w:t>
      </w:r>
      <w:bookmarkStart w:id="0" w:name="_GoBack"/>
      <w:bookmarkEnd w:id="0"/>
    </w:p>
    <w:p w14:paraId="3B3D4ADB" w14:textId="77777777" w:rsidR="002A6E64" w:rsidRPr="006C4BAD" w:rsidRDefault="002A6E64" w:rsidP="002A6E64">
      <w:pPr>
        <w:rPr>
          <w:b/>
        </w:rPr>
      </w:pPr>
      <w:r>
        <w:rPr>
          <w:b/>
        </w:rPr>
        <w:t>Nov 12</w:t>
      </w:r>
      <w:r w:rsidRPr="006309A2">
        <w:rPr>
          <w:b/>
          <w:vertAlign w:val="superscript"/>
        </w:rPr>
        <w:t>th</w:t>
      </w:r>
      <w:r>
        <w:rPr>
          <w:b/>
        </w:rPr>
        <w:t xml:space="preserve"> – Nov 16</w:t>
      </w:r>
      <w:r w:rsidRPr="006309A2">
        <w:rPr>
          <w:b/>
          <w:vertAlign w:val="superscript"/>
        </w:rPr>
        <w:t>th</w:t>
      </w:r>
      <w:r w:rsidRPr="006C4BAD">
        <w:rPr>
          <w:b/>
        </w:rPr>
        <w:t>, 2018</w:t>
      </w:r>
    </w:p>
    <w:p w14:paraId="396D8874" w14:textId="77777777" w:rsidR="002A6E64" w:rsidRPr="006C4BAD" w:rsidRDefault="002A6E64" w:rsidP="002A6E64">
      <w:pPr>
        <w:rPr>
          <w:b/>
        </w:rPr>
      </w:pPr>
      <w:r>
        <w:rPr>
          <w:b/>
        </w:rPr>
        <w:t>Spokane</w:t>
      </w:r>
      <w:r w:rsidRPr="006C4BAD">
        <w:rPr>
          <w:b/>
        </w:rPr>
        <w:t xml:space="preserve">, </w:t>
      </w:r>
      <w:r>
        <w:rPr>
          <w:b/>
        </w:rPr>
        <w:t>USA</w:t>
      </w:r>
    </w:p>
    <w:p w14:paraId="3A189C43" w14:textId="77777777" w:rsidR="002A6E64" w:rsidRPr="006C4BAD" w:rsidRDefault="002A6E64" w:rsidP="002A6E64">
      <w:pPr>
        <w:pStyle w:val="Title"/>
        <w:rPr>
          <w:lang w:eastAsia="ja-JP"/>
        </w:rPr>
      </w:pPr>
      <w:r w:rsidRPr="006C4BAD">
        <w:tab/>
      </w:r>
    </w:p>
    <w:p w14:paraId="5D2F932D" w14:textId="4935821C" w:rsidR="002A6E64" w:rsidRPr="006C4BAD" w:rsidRDefault="002A6E64" w:rsidP="002A6E64">
      <w:pPr>
        <w:tabs>
          <w:tab w:val="left" w:pos="2070"/>
        </w:tabs>
        <w:rPr>
          <w:b/>
        </w:rPr>
      </w:pPr>
      <w:r w:rsidRPr="006C4BAD">
        <w:rPr>
          <w:b/>
        </w:rPr>
        <w:t>Agenda item:</w:t>
      </w:r>
      <w:bookmarkStart w:id="1" w:name="Source"/>
      <w:bookmarkEnd w:id="1"/>
      <w:r>
        <w:rPr>
          <w:b/>
        </w:rPr>
        <w:tab/>
      </w:r>
      <w:r w:rsidRPr="006C4BAD">
        <w:rPr>
          <w:b/>
        </w:rPr>
        <w:t>7.</w:t>
      </w:r>
      <w:r>
        <w:rPr>
          <w:b/>
        </w:rPr>
        <w:t>2.2</w:t>
      </w:r>
    </w:p>
    <w:p w14:paraId="052E0137" w14:textId="77777777" w:rsidR="002A6E64" w:rsidRPr="006C4BAD" w:rsidRDefault="002A6E64" w:rsidP="002A6E64">
      <w:pPr>
        <w:tabs>
          <w:tab w:val="left" w:pos="2070"/>
        </w:tabs>
        <w:rPr>
          <w:b/>
        </w:rPr>
      </w:pPr>
      <w:r w:rsidRPr="006C4BAD">
        <w:rPr>
          <w:b/>
        </w:rPr>
        <w:t xml:space="preserve">Source: </w:t>
      </w:r>
      <w:r w:rsidRPr="006C4BAD">
        <w:rPr>
          <w:b/>
        </w:rPr>
        <w:tab/>
        <w:t>Qualcomm Incorporated</w:t>
      </w:r>
    </w:p>
    <w:p w14:paraId="50F1429E" w14:textId="70C48F19" w:rsidR="002A6E64" w:rsidRPr="006C4BAD" w:rsidRDefault="002A6E64" w:rsidP="002A6E64">
      <w:pPr>
        <w:tabs>
          <w:tab w:val="left" w:pos="2070"/>
        </w:tabs>
        <w:rPr>
          <w:b/>
        </w:rPr>
      </w:pPr>
      <w:r w:rsidRPr="006C4BAD">
        <w:rPr>
          <w:b/>
        </w:rPr>
        <w:t xml:space="preserve">Title: </w:t>
      </w:r>
      <w:r>
        <w:rPr>
          <w:b/>
        </w:rPr>
        <w:tab/>
        <w:t>TP proposal for 38.889</w:t>
      </w:r>
    </w:p>
    <w:p w14:paraId="5295849C" w14:textId="77777777" w:rsidR="002A6E64" w:rsidRPr="006C4BAD" w:rsidRDefault="002A6E64" w:rsidP="002A6E64">
      <w:pPr>
        <w:tabs>
          <w:tab w:val="left" w:pos="2070"/>
        </w:tabs>
        <w:rPr>
          <w:b/>
        </w:rPr>
      </w:pPr>
      <w:r w:rsidRPr="006C4BAD">
        <w:rPr>
          <w:b/>
        </w:rPr>
        <w:t>Document for:</w:t>
      </w:r>
      <w:r w:rsidRPr="006C4BAD">
        <w:rPr>
          <w:b/>
        </w:rPr>
        <w:tab/>
      </w:r>
      <w:bookmarkStart w:id="2" w:name="DocumentFor"/>
      <w:bookmarkEnd w:id="2"/>
      <w:r w:rsidRPr="006C4BAD">
        <w:rPr>
          <w:b/>
        </w:rPr>
        <w:t>Discussion and Decision</w:t>
      </w:r>
    </w:p>
    <w:p w14:paraId="609ED614" w14:textId="77777777" w:rsidR="002A6E64" w:rsidRDefault="002A6E64" w:rsidP="002A6E64">
      <w:pPr>
        <w:pStyle w:val="Heading1"/>
      </w:pPr>
      <w:r>
        <w:t>Background</w:t>
      </w:r>
    </w:p>
    <w:p w14:paraId="48879D66" w14:textId="76AD8662" w:rsidR="002A6E64" w:rsidRDefault="002A6E64" w:rsidP="002A6E64">
      <w:r>
        <w:t>This paper contains TP for section 9 (conclusion) for TR38.889 v0.2.0</w:t>
      </w:r>
    </w:p>
    <w:p w14:paraId="15AE2D9F" w14:textId="058EA1F6" w:rsidR="002A6E64" w:rsidRDefault="002A6E64" w:rsidP="002A6E64">
      <w:pPr>
        <w:pStyle w:val="Heading1"/>
      </w:pPr>
      <w:r>
        <w:t>Text Proposal</w:t>
      </w:r>
    </w:p>
    <w:p w14:paraId="37CAB1D7" w14:textId="23AC52B7" w:rsidR="002A6E64" w:rsidRDefault="002A6E64" w:rsidP="009D2EA9">
      <w:pPr>
        <w:rPr>
          <w:rFonts w:eastAsia="Times New Roman"/>
        </w:rPr>
      </w:pPr>
      <w:r>
        <w:rPr>
          <w:rFonts w:eastAsia="Times New Roman"/>
        </w:rPr>
        <w:t>===============TP starts=============================</w:t>
      </w:r>
    </w:p>
    <w:p w14:paraId="09FF1BCF" w14:textId="46403EA7" w:rsidR="004E4BD6" w:rsidRDefault="009D2EA9" w:rsidP="009D2EA9">
      <w:pPr>
        <w:rPr>
          <w:rFonts w:eastAsia="Times New Roman"/>
        </w:rPr>
      </w:pPr>
      <w:r>
        <w:rPr>
          <w:rFonts w:eastAsia="Times New Roman"/>
        </w:rPr>
        <w:t xml:space="preserve">This technical report presents the results of a study on the operation of NR in </w:t>
      </w:r>
      <w:r w:rsidR="00356DCB">
        <w:rPr>
          <w:rFonts w:eastAsia="Times New Roman"/>
        </w:rPr>
        <w:t xml:space="preserve">sub 7 GHz </w:t>
      </w:r>
      <w:r>
        <w:rPr>
          <w:rFonts w:eastAsia="Times New Roman"/>
        </w:rPr>
        <w:t>unlicensed spectrum</w:t>
      </w:r>
      <w:r w:rsidR="001A212D">
        <w:rPr>
          <w:rFonts w:eastAsia="Times New Roman"/>
        </w:rPr>
        <w:t xml:space="preserve"> (NR-U)</w:t>
      </w:r>
      <w:r>
        <w:rPr>
          <w:rFonts w:eastAsia="Times New Roman"/>
        </w:rPr>
        <w:t xml:space="preserve">. </w:t>
      </w:r>
      <w:r w:rsidR="004E4BD6">
        <w:rPr>
          <w:rFonts w:eastAsia="Times New Roman"/>
        </w:rPr>
        <w:t xml:space="preserve">Multiple deployment scenarios for NR-U have been identified, including </w:t>
      </w:r>
      <w:r w:rsidR="00477CE8">
        <w:rPr>
          <w:rFonts w:eastAsia="Times New Roman"/>
        </w:rPr>
        <w:t>carrier aggregation (</w:t>
      </w:r>
      <w:r w:rsidR="004E4BD6">
        <w:rPr>
          <w:rFonts w:eastAsia="Times New Roman"/>
        </w:rPr>
        <w:t>CA</w:t>
      </w:r>
      <w:r w:rsidR="00477CE8">
        <w:rPr>
          <w:rFonts w:eastAsia="Times New Roman"/>
        </w:rPr>
        <w:t>)</w:t>
      </w:r>
      <w:r w:rsidR="004E4BD6">
        <w:rPr>
          <w:rFonts w:eastAsia="Times New Roman"/>
        </w:rPr>
        <w:t xml:space="preserve"> with NR, </w:t>
      </w:r>
      <w:r w:rsidR="00477CE8">
        <w:rPr>
          <w:rFonts w:eastAsia="Times New Roman"/>
        </w:rPr>
        <w:t>dual connectivity (</w:t>
      </w:r>
      <w:r w:rsidR="004E4BD6">
        <w:rPr>
          <w:rFonts w:eastAsia="Times New Roman"/>
        </w:rPr>
        <w:t>DC</w:t>
      </w:r>
      <w:r w:rsidR="00477CE8">
        <w:rPr>
          <w:rFonts w:eastAsia="Times New Roman"/>
        </w:rPr>
        <w:t>)</w:t>
      </w:r>
      <w:r w:rsidR="004E4BD6">
        <w:rPr>
          <w:rFonts w:eastAsia="Times New Roman"/>
        </w:rPr>
        <w:t xml:space="preserve"> with LTE or NR, </w:t>
      </w:r>
      <w:r w:rsidR="00477CE8">
        <w:rPr>
          <w:rFonts w:eastAsia="Times New Roman"/>
        </w:rPr>
        <w:t>stand-alone (</w:t>
      </w:r>
      <w:r w:rsidR="004E4BD6">
        <w:rPr>
          <w:rFonts w:eastAsia="Times New Roman"/>
        </w:rPr>
        <w:t>SA</w:t>
      </w:r>
      <w:r w:rsidR="00477CE8">
        <w:rPr>
          <w:rFonts w:eastAsia="Times New Roman"/>
        </w:rPr>
        <w:t>)</w:t>
      </w:r>
      <w:r w:rsidR="004E4BD6">
        <w:rPr>
          <w:rFonts w:eastAsia="Times New Roman"/>
        </w:rPr>
        <w:t xml:space="preserve">, </w:t>
      </w:r>
      <w:r w:rsidR="00583219">
        <w:rPr>
          <w:rFonts w:eastAsia="Times New Roman"/>
        </w:rPr>
        <w:t>and SA with DL in unlicensed band and UL in licensed band.</w:t>
      </w:r>
    </w:p>
    <w:p w14:paraId="1003FE82" w14:textId="2BC9210C" w:rsidR="009D2EA9" w:rsidRDefault="009D2EA9" w:rsidP="009D2EA9">
      <w:pPr>
        <w:rPr>
          <w:rFonts w:eastAsia="Times New Roman"/>
        </w:rPr>
      </w:pPr>
      <w:r>
        <w:rPr>
          <w:rFonts w:eastAsia="Times New Roman"/>
        </w:rPr>
        <w:t xml:space="preserve">The modifications to </w:t>
      </w:r>
      <w:r w:rsidR="00E237D1">
        <w:rPr>
          <w:rFonts w:eastAsia="Times New Roman"/>
        </w:rPr>
        <w:t>NR</w:t>
      </w:r>
      <w:r>
        <w:rPr>
          <w:rFonts w:eastAsia="Times New Roman"/>
        </w:rPr>
        <w:t xml:space="preserve"> needed to allow it to operate in unlicensed spectrum as a Secondary cell through carrier aggregation</w:t>
      </w:r>
      <w:r w:rsidR="00132CD7">
        <w:rPr>
          <w:rFonts w:eastAsia="Times New Roman"/>
        </w:rPr>
        <w:t xml:space="preserve">, as a </w:t>
      </w:r>
      <w:proofErr w:type="spellStart"/>
      <w:r w:rsidR="00132CD7">
        <w:rPr>
          <w:rFonts w:eastAsia="Times New Roman"/>
        </w:rPr>
        <w:t>PS</w:t>
      </w:r>
      <w:r w:rsidR="00E237D1">
        <w:rPr>
          <w:rFonts w:eastAsia="Times New Roman"/>
        </w:rPr>
        <w:t>Cell</w:t>
      </w:r>
      <w:proofErr w:type="spellEnd"/>
      <w:r w:rsidR="00E237D1">
        <w:rPr>
          <w:rFonts w:eastAsia="Times New Roman"/>
        </w:rPr>
        <w:t xml:space="preserve"> through DC</w:t>
      </w:r>
      <w:r w:rsidR="004043D8">
        <w:rPr>
          <w:rFonts w:asciiTheme="minorEastAsia" w:eastAsiaTheme="minorEastAsia" w:hAnsiTheme="minorEastAsia" w:hint="eastAsia"/>
          <w:lang w:eastAsia="zh-CN"/>
        </w:rPr>
        <w:t>,</w:t>
      </w:r>
      <w:r w:rsidR="004043D8">
        <w:rPr>
          <w:rFonts w:eastAsia="Times New Roman"/>
        </w:rPr>
        <w:t xml:space="preserve"> and as a </w:t>
      </w:r>
      <w:r w:rsidR="001A212D">
        <w:rPr>
          <w:rFonts w:eastAsia="Times New Roman"/>
        </w:rPr>
        <w:t xml:space="preserve">primary cell in </w:t>
      </w:r>
      <w:r w:rsidR="004043D8">
        <w:rPr>
          <w:rFonts w:eastAsia="Times New Roman"/>
        </w:rPr>
        <w:t>stand-</w:t>
      </w:r>
      <w:r w:rsidR="00E237D1">
        <w:rPr>
          <w:rFonts w:eastAsia="Times New Roman"/>
        </w:rPr>
        <w:t xml:space="preserve">alone </w:t>
      </w:r>
      <w:r w:rsidR="001A212D">
        <w:rPr>
          <w:rFonts w:eastAsia="Times New Roman"/>
        </w:rPr>
        <w:t xml:space="preserve">deployment </w:t>
      </w:r>
      <w:r>
        <w:rPr>
          <w:rFonts w:eastAsia="Times New Roman"/>
        </w:rPr>
        <w:t xml:space="preserve">are </w:t>
      </w:r>
      <w:r w:rsidR="00CD60A3">
        <w:rPr>
          <w:rFonts w:eastAsia="Times New Roman"/>
        </w:rPr>
        <w:t xml:space="preserve">studied and </w:t>
      </w:r>
      <w:r>
        <w:rPr>
          <w:rFonts w:eastAsia="Times New Roman"/>
        </w:rPr>
        <w:t xml:space="preserve">documented. The relevant regulatory requirements have been summarized in section </w:t>
      </w:r>
      <w:proofErr w:type="gramStart"/>
      <w:r>
        <w:rPr>
          <w:rFonts w:eastAsia="Times New Roman"/>
        </w:rPr>
        <w:t>4.</w:t>
      </w:r>
      <w:r w:rsidR="00E237D1">
        <w:rPr>
          <w:rFonts w:eastAsia="Times New Roman"/>
        </w:rPr>
        <w:t>.</w:t>
      </w:r>
      <w:proofErr w:type="gramEnd"/>
      <w:r w:rsidR="005924A1">
        <w:rPr>
          <w:rFonts w:eastAsia="Times New Roman"/>
        </w:rPr>
        <w:t xml:space="preserve"> The study concludes </w:t>
      </w:r>
      <w:r w:rsidR="009E6F96">
        <w:rPr>
          <w:rFonts w:eastAsia="Times New Roman"/>
        </w:rPr>
        <w:t xml:space="preserve">that </w:t>
      </w:r>
      <w:r w:rsidR="005924A1">
        <w:rPr>
          <w:rFonts w:eastAsia="Times New Roman"/>
        </w:rPr>
        <w:t>modifying NR to operate in unlicensed spectrum</w:t>
      </w:r>
      <w:r w:rsidR="009E6F96">
        <w:rPr>
          <w:rFonts w:eastAsia="Times New Roman"/>
        </w:rPr>
        <w:t xml:space="preserve"> in</w:t>
      </w:r>
      <w:r w:rsidR="005924A1">
        <w:rPr>
          <w:rFonts w:eastAsia="Times New Roman"/>
        </w:rPr>
        <w:t xml:space="preserve"> </w:t>
      </w:r>
      <w:r w:rsidR="009E6F96">
        <w:rPr>
          <w:rFonts w:eastAsia="Times New Roman"/>
        </w:rPr>
        <w:t>carrier aggregation (CA) with NR, dual connectivity (DC) with LTE or NR, stand-alone (SA), and SA with DL in unlicensed band and UL in licensed band</w:t>
      </w:r>
      <w:r w:rsidR="009E6F96" w:rsidDel="009E6F96">
        <w:rPr>
          <w:rFonts w:eastAsia="Times New Roman"/>
        </w:rPr>
        <w:t xml:space="preserve"> </w:t>
      </w:r>
      <w:r w:rsidR="005924A1">
        <w:rPr>
          <w:rFonts w:eastAsia="Times New Roman"/>
        </w:rPr>
        <w:t xml:space="preserve">scenarios </w:t>
      </w:r>
      <w:r w:rsidR="009E6F96">
        <w:rPr>
          <w:rFonts w:eastAsia="Times New Roman"/>
        </w:rPr>
        <w:t xml:space="preserve">is </w:t>
      </w:r>
      <w:r w:rsidR="005924A1">
        <w:rPr>
          <w:rFonts w:eastAsia="Times New Roman"/>
        </w:rPr>
        <w:t>feasible.</w:t>
      </w:r>
    </w:p>
    <w:p w14:paraId="0599A471" w14:textId="77777777" w:rsidR="009E6F96" w:rsidRDefault="004043D8" w:rsidP="009D2EA9">
      <w:pPr>
        <w:rPr>
          <w:rFonts w:eastAsia="Times New Roman"/>
        </w:rPr>
      </w:pPr>
      <w:r>
        <w:rPr>
          <w:rFonts w:eastAsia="Times New Roman"/>
        </w:rPr>
        <w:t xml:space="preserve">When deployed in unlicensed bands, NR-U needs to coexist with other deployments with same or other RATs, and coexistence performance has been evaluated. </w:t>
      </w:r>
      <w:r w:rsidR="005C2C3B">
        <w:rPr>
          <w:rFonts w:eastAsia="Times New Roman"/>
        </w:rPr>
        <w:t xml:space="preserve">For the coexistence evaluation, three scenarios (indoor, outdoor scenario 1, and outdoor scenario 2) have been defined, as documented in </w:t>
      </w:r>
      <w:r w:rsidR="005C2C3B" w:rsidRPr="00CA0A48">
        <w:rPr>
          <w:rFonts w:eastAsia="Times New Roman"/>
        </w:rPr>
        <w:t xml:space="preserve">section </w:t>
      </w:r>
      <w:r w:rsidR="00132CD7" w:rsidRPr="00CA0A48">
        <w:rPr>
          <w:rFonts w:eastAsia="Times New Roman"/>
        </w:rPr>
        <w:t>8</w:t>
      </w:r>
      <w:r w:rsidR="005C2C3B" w:rsidRPr="00CA0A48">
        <w:rPr>
          <w:rFonts w:eastAsia="Times New Roman"/>
        </w:rPr>
        <w:t>.</w:t>
      </w:r>
    </w:p>
    <w:p w14:paraId="724DEAE4" w14:textId="5E0582FA" w:rsidR="009E6F96" w:rsidRDefault="004043D8" w:rsidP="009D2EA9">
      <w:pPr>
        <w:rPr>
          <w:rFonts w:eastAsia="Times New Roman"/>
        </w:rPr>
      </w:pPr>
      <w:r w:rsidRPr="00CA0A48">
        <w:rPr>
          <w:rFonts w:eastAsia="Times New Roman"/>
        </w:rPr>
        <w:t xml:space="preserve">For 5GHz band, where </w:t>
      </w:r>
      <w:r w:rsidR="005C2C3B" w:rsidRPr="00CA0A48">
        <w:rPr>
          <w:rFonts w:eastAsia="Times New Roman"/>
        </w:rPr>
        <w:t>Wi</w:t>
      </w:r>
      <w:r w:rsidR="00BF5398" w:rsidRPr="00CA0A48">
        <w:rPr>
          <w:rFonts w:eastAsia="Times New Roman"/>
        </w:rPr>
        <w:t>-</w:t>
      </w:r>
      <w:r w:rsidR="005C2C3B" w:rsidRPr="00CA0A48">
        <w:rPr>
          <w:rFonts w:eastAsia="Times New Roman"/>
        </w:rPr>
        <w:t xml:space="preserve">Fi </w:t>
      </w:r>
      <w:r w:rsidRPr="00CA0A48">
        <w:rPr>
          <w:rFonts w:eastAsia="Times New Roman"/>
        </w:rPr>
        <w:t xml:space="preserve">802.11ac has been widely deployed, the coexistence evaluation </w:t>
      </w:r>
      <w:r w:rsidR="005C2C3B" w:rsidRPr="00CA0A48">
        <w:rPr>
          <w:rFonts w:eastAsia="Times New Roman"/>
        </w:rPr>
        <w:t xml:space="preserve">assumes </w:t>
      </w:r>
      <w:r w:rsidR="00BF5398" w:rsidRPr="00CA0A48">
        <w:rPr>
          <w:rFonts w:eastAsia="Times New Roman"/>
        </w:rPr>
        <w:t xml:space="preserve">two independent </w:t>
      </w:r>
      <w:r w:rsidR="005C2C3B" w:rsidRPr="00CA0A48">
        <w:rPr>
          <w:rFonts w:eastAsia="Times New Roman"/>
        </w:rPr>
        <w:t>network</w:t>
      </w:r>
      <w:r w:rsidR="00BF5398" w:rsidRPr="00CA0A48">
        <w:rPr>
          <w:rFonts w:eastAsia="Times New Roman"/>
        </w:rPr>
        <w:t>s (</w:t>
      </w:r>
      <w:r w:rsidR="00D028D7">
        <w:rPr>
          <w:rFonts w:eastAsia="Times New Roman"/>
        </w:rPr>
        <w:t xml:space="preserve">e.g., </w:t>
      </w:r>
      <w:proofErr w:type="spellStart"/>
      <w:r w:rsidR="00BF5398" w:rsidRPr="00CA0A48">
        <w:rPr>
          <w:rFonts w:eastAsia="Times New Roman"/>
        </w:rPr>
        <w:t>NR-U+Wi-Fi</w:t>
      </w:r>
      <w:proofErr w:type="spellEnd"/>
      <w:r w:rsidR="00D028D7">
        <w:rPr>
          <w:rFonts w:eastAsia="Times New Roman"/>
        </w:rPr>
        <w:t xml:space="preserve"> or</w:t>
      </w:r>
      <w:r w:rsidR="00BF5398" w:rsidRPr="00CA0A48">
        <w:rPr>
          <w:rFonts w:eastAsia="Times New Roman"/>
        </w:rPr>
        <w:t xml:space="preserve"> </w:t>
      </w:r>
      <w:proofErr w:type="spellStart"/>
      <w:r w:rsidR="00BF5398" w:rsidRPr="00CA0A48">
        <w:rPr>
          <w:rFonts w:eastAsia="Times New Roman"/>
        </w:rPr>
        <w:t>Wi-Fi+Wi-Fi</w:t>
      </w:r>
      <w:proofErr w:type="spellEnd"/>
      <w:r w:rsidR="00BF5398" w:rsidRPr="00CA0A48">
        <w:rPr>
          <w:rFonts w:eastAsia="Times New Roman"/>
        </w:rPr>
        <w:t>)</w:t>
      </w:r>
      <w:r w:rsidR="005C2C3B" w:rsidRPr="00CA0A48">
        <w:rPr>
          <w:rFonts w:eastAsia="Times New Roman"/>
        </w:rPr>
        <w:t xml:space="preserve"> are deployed in the same area</w:t>
      </w:r>
      <w:r w:rsidRPr="00CA0A48">
        <w:rPr>
          <w:rFonts w:eastAsia="Times New Roman"/>
        </w:rPr>
        <w:t>, and the fairnes</w:t>
      </w:r>
      <w:r w:rsidR="005C2C3B" w:rsidRPr="00CA0A48">
        <w:rPr>
          <w:rFonts w:eastAsia="Times New Roman"/>
        </w:rPr>
        <w:t xml:space="preserve">s criterion is defined as </w:t>
      </w:r>
      <w:r w:rsidR="003267C1">
        <w:rPr>
          <w:rFonts w:eastAsia="Times New Roman"/>
        </w:rPr>
        <w:t xml:space="preserve">the </w:t>
      </w:r>
      <w:r w:rsidR="005C2C3B" w:rsidRPr="00CA0A48">
        <w:rPr>
          <w:rFonts w:eastAsia="Times New Roman"/>
        </w:rPr>
        <w:t xml:space="preserve">NR-U </w:t>
      </w:r>
      <w:r w:rsidR="00132CD7" w:rsidRPr="00CA0A48">
        <w:rPr>
          <w:rFonts w:eastAsia="Times New Roman"/>
        </w:rPr>
        <w:t>network</w:t>
      </w:r>
      <w:r w:rsidR="005C2C3B" w:rsidRPr="00CA0A48">
        <w:rPr>
          <w:rFonts w:eastAsia="Times New Roman"/>
        </w:rPr>
        <w:t xml:space="preserve"> not degrad</w:t>
      </w:r>
      <w:r w:rsidR="003267C1">
        <w:rPr>
          <w:rFonts w:eastAsia="Times New Roman"/>
        </w:rPr>
        <w:t>ing</w:t>
      </w:r>
      <w:r w:rsidR="005C2C3B" w:rsidRPr="00CA0A48">
        <w:rPr>
          <w:rFonts w:eastAsia="Times New Roman"/>
        </w:rPr>
        <w:t xml:space="preserve"> Wi</w:t>
      </w:r>
      <w:r w:rsidR="00BF5398" w:rsidRPr="00CA0A48">
        <w:rPr>
          <w:rFonts w:eastAsia="Times New Roman"/>
        </w:rPr>
        <w:t>-</w:t>
      </w:r>
      <w:r w:rsidR="005C2C3B" w:rsidRPr="00CA0A48">
        <w:rPr>
          <w:rFonts w:eastAsia="Times New Roman"/>
        </w:rPr>
        <w:t xml:space="preserve">Fi </w:t>
      </w:r>
      <w:r w:rsidR="00CD60A3">
        <w:rPr>
          <w:rFonts w:eastAsia="Times New Roman"/>
        </w:rPr>
        <w:t>802.11</w:t>
      </w:r>
      <w:r w:rsidR="00BF5398" w:rsidRPr="00CA0A48">
        <w:rPr>
          <w:rFonts w:eastAsia="Times New Roman"/>
        </w:rPr>
        <w:t xml:space="preserve">ac </w:t>
      </w:r>
      <w:r w:rsidR="00132CD7" w:rsidRPr="00CA0A48">
        <w:rPr>
          <w:rFonts w:eastAsia="Times New Roman"/>
        </w:rPr>
        <w:t xml:space="preserve">network </w:t>
      </w:r>
      <w:r w:rsidR="005C2C3B" w:rsidRPr="00CA0A48">
        <w:rPr>
          <w:rFonts w:eastAsia="Times New Roman"/>
        </w:rPr>
        <w:t>performance</w:t>
      </w:r>
      <w:r w:rsidR="00FE0340" w:rsidRPr="00CA0A48">
        <w:rPr>
          <w:rFonts w:eastAsia="Times New Roman"/>
        </w:rPr>
        <w:t xml:space="preserve"> when NR-U and Wi-Fi 802.11ac are deployed in the area</w:t>
      </w:r>
      <w:r w:rsidR="005C2C3B" w:rsidRPr="00CA0A48">
        <w:rPr>
          <w:rFonts w:eastAsia="Times New Roman"/>
        </w:rPr>
        <w:t xml:space="preserve"> compared to the case </w:t>
      </w:r>
      <w:r w:rsidR="00BF5398" w:rsidRPr="00CA0A48">
        <w:rPr>
          <w:rFonts w:eastAsia="Times New Roman"/>
        </w:rPr>
        <w:t xml:space="preserve">where </w:t>
      </w:r>
      <w:r w:rsidR="005C2C3B" w:rsidRPr="00CA0A48">
        <w:rPr>
          <w:rFonts w:eastAsia="Times New Roman"/>
        </w:rPr>
        <w:t>two Wi</w:t>
      </w:r>
      <w:r w:rsidR="00BF5398" w:rsidRPr="00CA0A48">
        <w:rPr>
          <w:rFonts w:eastAsia="Times New Roman"/>
        </w:rPr>
        <w:t>-</w:t>
      </w:r>
      <w:r w:rsidR="005C2C3B" w:rsidRPr="00CA0A48">
        <w:rPr>
          <w:rFonts w:eastAsia="Times New Roman"/>
        </w:rPr>
        <w:t>Fi 802.11ac networks are deployed in the area</w:t>
      </w:r>
      <w:r w:rsidR="001A212D">
        <w:rPr>
          <w:rFonts w:eastAsia="Times New Roman"/>
        </w:rPr>
        <w:t>, i.e., the same fairness criterion as used in the LTE LAA studies [31]</w:t>
      </w:r>
      <w:r w:rsidR="005C2C3B" w:rsidRPr="00CA0A48">
        <w:rPr>
          <w:rFonts w:eastAsia="Times New Roman"/>
        </w:rPr>
        <w:t xml:space="preserve">. </w:t>
      </w:r>
    </w:p>
    <w:p w14:paraId="775D3D25" w14:textId="147EA4D0" w:rsidR="005C2C3B" w:rsidRPr="00CA0A48" w:rsidRDefault="005C2C3B" w:rsidP="009D2EA9">
      <w:pPr>
        <w:rPr>
          <w:rFonts w:eastAsia="Times New Roman"/>
        </w:rPr>
      </w:pPr>
      <w:r w:rsidRPr="00CA0A48">
        <w:rPr>
          <w:rFonts w:eastAsia="Times New Roman"/>
        </w:rPr>
        <w:t>For 6GHz band, since both NR-U and Wi</w:t>
      </w:r>
      <w:r w:rsidR="00BF5398" w:rsidRPr="00CA0A48">
        <w:rPr>
          <w:rFonts w:eastAsia="Times New Roman"/>
        </w:rPr>
        <w:t>-</w:t>
      </w:r>
      <w:r w:rsidRPr="00CA0A48">
        <w:rPr>
          <w:rFonts w:eastAsia="Times New Roman"/>
        </w:rPr>
        <w:t xml:space="preserve">Fi are new systems to be deployed in the band, a technology neutral fairness criterion </w:t>
      </w:r>
      <w:r w:rsidR="00EE0D4B" w:rsidRPr="00CA0A48">
        <w:rPr>
          <w:rFonts w:eastAsia="Times New Roman"/>
        </w:rPr>
        <w:t>is</w:t>
      </w:r>
      <w:r w:rsidRPr="00CA0A48">
        <w:rPr>
          <w:rFonts w:eastAsia="Times New Roman"/>
        </w:rPr>
        <w:t xml:space="preserve"> </w:t>
      </w:r>
      <w:r w:rsidR="009E6F96">
        <w:rPr>
          <w:rFonts w:eastAsia="Times New Roman"/>
        </w:rPr>
        <w:t>required</w:t>
      </w:r>
      <w:r w:rsidR="009E6F96" w:rsidRPr="00CA0A48">
        <w:rPr>
          <w:rFonts w:eastAsia="Times New Roman"/>
        </w:rPr>
        <w:t xml:space="preserve"> </w:t>
      </w:r>
      <w:r w:rsidRPr="00CA0A48">
        <w:rPr>
          <w:rFonts w:eastAsia="Times New Roman"/>
        </w:rPr>
        <w:t xml:space="preserve">for the coexistence evaluation. </w:t>
      </w:r>
      <w:r w:rsidR="009E6F96">
        <w:t xml:space="preserve">Though it is not in the scope of this study to define a fairness </w:t>
      </w:r>
      <w:r w:rsidR="009E6F96" w:rsidRPr="00016B62">
        <w:t xml:space="preserve">criterion </w:t>
      </w:r>
      <w:r w:rsidR="009E6F96">
        <w:t>with other RATs, a fairness</w:t>
      </w:r>
      <w:r w:rsidR="009E6F96" w:rsidRPr="00016B62">
        <w:t xml:space="preserve"> </w:t>
      </w:r>
      <w:r w:rsidR="009E6F96">
        <w:t xml:space="preserve">criterion for </w:t>
      </w:r>
      <w:r w:rsidR="009E6F96" w:rsidRPr="00016B62">
        <w:t xml:space="preserve">coexistence </w:t>
      </w:r>
      <w:r w:rsidR="009E6F96">
        <w:t>has been discussed but no conclusions were reached. For the 6 GHz coexistence evaluation in this study, the assumption of same CCA-ED threshold across technologies is applied as the technology neutral channel access mechanism.</w:t>
      </w:r>
    </w:p>
    <w:p w14:paraId="6C1B275B" w14:textId="4697CD84" w:rsidR="00E66B75" w:rsidRDefault="009D2EA9" w:rsidP="009D2EA9">
      <w:pPr>
        <w:rPr>
          <w:rFonts w:eastAsia="Times New Roman"/>
        </w:rPr>
      </w:pPr>
      <w:r w:rsidRPr="00CA0A48">
        <w:rPr>
          <w:rFonts w:eastAsia="Times New Roman"/>
        </w:rPr>
        <w:t>The coexistence evaluations performed during the study item are documented</w:t>
      </w:r>
      <w:r w:rsidR="005C2C3B" w:rsidRPr="00CA0A48">
        <w:rPr>
          <w:rFonts w:eastAsia="Times New Roman"/>
        </w:rPr>
        <w:t xml:space="preserve"> in section </w:t>
      </w:r>
      <w:r w:rsidR="005924A1">
        <w:rPr>
          <w:rFonts w:eastAsia="Times New Roman"/>
        </w:rPr>
        <w:t>8.3</w:t>
      </w:r>
      <w:r w:rsidRPr="00CA0A48">
        <w:rPr>
          <w:rFonts w:eastAsia="Times New Roman"/>
        </w:rPr>
        <w:t xml:space="preserve">. </w:t>
      </w:r>
      <w:r w:rsidR="005C2C3B" w:rsidRPr="00CA0A48">
        <w:rPr>
          <w:rFonts w:eastAsia="Times New Roman"/>
        </w:rPr>
        <w:t>The 5GHz band coexistence evaluation results are</w:t>
      </w:r>
      <w:r w:rsidRPr="00CA0A48">
        <w:rPr>
          <w:rFonts w:eastAsia="Times New Roman"/>
        </w:rPr>
        <w:t xml:space="preserve"> listed in Section </w:t>
      </w:r>
      <w:r w:rsidR="005924A1">
        <w:rPr>
          <w:rFonts w:eastAsia="Times New Roman"/>
        </w:rPr>
        <w:t>8.3.1</w:t>
      </w:r>
      <w:r w:rsidRPr="00CA0A48">
        <w:rPr>
          <w:rFonts w:eastAsia="Times New Roman"/>
        </w:rPr>
        <w:t xml:space="preserve">. </w:t>
      </w:r>
      <w:r w:rsidRPr="005B040C">
        <w:rPr>
          <w:rFonts w:eastAsia="Times New Roman"/>
        </w:rPr>
        <w:t>The</w:t>
      </w:r>
      <w:r w:rsidR="00CD60A3">
        <w:rPr>
          <w:rFonts w:eastAsia="Times New Roman"/>
        </w:rPr>
        <w:t xml:space="preserve"> studies show that when the</w:t>
      </w:r>
      <w:r>
        <w:rPr>
          <w:rFonts w:eastAsia="Times New Roman"/>
        </w:rPr>
        <w:t xml:space="preserve"> appropriate channel access scheme</w:t>
      </w:r>
      <w:r w:rsidR="00CD60A3">
        <w:rPr>
          <w:rFonts w:eastAsia="Times New Roman"/>
        </w:rPr>
        <w:t>s, as defined in Section 8.2, are</w:t>
      </w:r>
      <w:r>
        <w:rPr>
          <w:rFonts w:eastAsia="Times New Roman"/>
        </w:rPr>
        <w:t xml:space="preserve"> used, it is feasible for </w:t>
      </w:r>
      <w:r w:rsidR="00E66B75">
        <w:rPr>
          <w:rFonts w:eastAsia="Times New Roman"/>
        </w:rPr>
        <w:t>NR-U</w:t>
      </w:r>
      <w:r>
        <w:rPr>
          <w:rFonts w:eastAsia="Times New Roman"/>
        </w:rPr>
        <w:t xml:space="preserve"> to achieve fair coexistence with Wi-Fi</w:t>
      </w:r>
      <w:r w:rsidR="00EE0D4B">
        <w:rPr>
          <w:rFonts w:eastAsia="Times New Roman"/>
        </w:rPr>
        <w:t xml:space="preserve">, and for NR-U to coexist </w:t>
      </w:r>
      <w:r w:rsidR="00EE0D4B" w:rsidRPr="00CA0A48">
        <w:rPr>
          <w:rFonts w:eastAsia="Times New Roman"/>
        </w:rPr>
        <w:t>with itself</w:t>
      </w:r>
      <w:r w:rsidR="00F223D1">
        <w:rPr>
          <w:rFonts w:eastAsia="Times New Roman"/>
        </w:rPr>
        <w:t>, under conditions described in Section 8.3.1.4</w:t>
      </w:r>
      <w:r w:rsidRPr="00CA0A48">
        <w:rPr>
          <w:rFonts w:eastAsia="Times New Roman"/>
        </w:rPr>
        <w:t xml:space="preserve">. </w:t>
      </w:r>
      <w:r w:rsidR="00CD60A3">
        <w:rPr>
          <w:rFonts w:eastAsia="Times New Roman"/>
        </w:rPr>
        <w:t>The 6GHz band coexistence evaluation results are listed in Section 8.3.2.</w:t>
      </w:r>
    </w:p>
    <w:p w14:paraId="684D3219" w14:textId="38A1CF07" w:rsidR="002A6E64" w:rsidRDefault="009F6112" w:rsidP="002A6E64">
      <w:p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 </w:t>
      </w:r>
      <w:r w:rsidR="002A6E64">
        <w:rPr>
          <w:rFonts w:eastAsia="Times New Roman"/>
        </w:rPr>
        <w:t xml:space="preserve">[Wideband operation in integer multiple of 20MHz is supported in NR-U and channel </w:t>
      </w:r>
      <w:r w:rsidR="00A40D96">
        <w:rPr>
          <w:rFonts w:eastAsia="Times New Roman"/>
        </w:rPr>
        <w:t>access can be performed in unit</w:t>
      </w:r>
      <w:r w:rsidR="002A6E64">
        <w:rPr>
          <w:rFonts w:eastAsia="Times New Roman"/>
        </w:rPr>
        <w:t>s of 20MHz, at least for band where absence of Wi-Fi cannot be guaranteed. Options to support wideband operation have been identified (Section 7.2.1.1)]</w:t>
      </w:r>
    </w:p>
    <w:p w14:paraId="6259C816" w14:textId="26360B94" w:rsidR="005B5564" w:rsidRDefault="005B5564" w:rsidP="00E90487">
      <w:pPr>
        <w:jc w:val="both"/>
        <w:rPr>
          <w:rFonts w:eastAsia="Times New Roman"/>
        </w:rPr>
      </w:pPr>
      <w:r>
        <w:rPr>
          <w:rFonts w:eastAsia="Times New Roman"/>
        </w:rPr>
        <w:t xml:space="preserve">For LBE mode </w:t>
      </w:r>
      <w:r w:rsidR="00303A5C">
        <w:rPr>
          <w:rFonts w:eastAsia="Times New Roman"/>
        </w:rPr>
        <w:t xml:space="preserve">of </w:t>
      </w:r>
      <w:r w:rsidR="00CD60A3">
        <w:rPr>
          <w:rFonts w:eastAsia="Times New Roman"/>
        </w:rPr>
        <w:t xml:space="preserve">operation, it is recommended that NR-U supports single DL/UL switching point operation within a </w:t>
      </w:r>
      <w:proofErr w:type="spellStart"/>
      <w:r w:rsidR="00CD60A3">
        <w:rPr>
          <w:rFonts w:eastAsia="Times New Roman"/>
        </w:rPr>
        <w:t>gNB</w:t>
      </w:r>
      <w:proofErr w:type="spellEnd"/>
      <w:r w:rsidR="00CD60A3">
        <w:rPr>
          <w:rFonts w:eastAsia="Times New Roman"/>
        </w:rPr>
        <w:t xml:space="preserve"> initiated COT, as in LTE-LAA</w:t>
      </w:r>
      <w:r w:rsidR="006849CA">
        <w:rPr>
          <w:rFonts w:eastAsia="Times New Roman"/>
        </w:rPr>
        <w:t>,</w:t>
      </w:r>
      <w:r w:rsidR="00CD60A3">
        <w:rPr>
          <w:rFonts w:eastAsia="Times New Roman"/>
        </w:rPr>
        <w:t xml:space="preserve"> </w:t>
      </w:r>
      <w:r w:rsidR="006849CA">
        <w:rPr>
          <w:rFonts w:eastAsia="Times New Roman"/>
        </w:rPr>
        <w:t>as well as</w:t>
      </w:r>
      <w:r w:rsidR="00B45A9B">
        <w:rPr>
          <w:rFonts w:eastAsia="Times New Roman"/>
        </w:rPr>
        <w:t xml:space="preserve"> multiple DL/UL switching points within a </w:t>
      </w:r>
      <w:proofErr w:type="spellStart"/>
      <w:r w:rsidR="00E336CE">
        <w:rPr>
          <w:rFonts w:eastAsia="Times New Roman"/>
        </w:rPr>
        <w:t>gNB</w:t>
      </w:r>
      <w:proofErr w:type="spellEnd"/>
      <w:r w:rsidR="00E336CE">
        <w:rPr>
          <w:rFonts w:eastAsia="Times New Roman"/>
        </w:rPr>
        <w:t xml:space="preserve"> initiated </w:t>
      </w:r>
      <w:r w:rsidR="00327BFB">
        <w:rPr>
          <w:rFonts w:eastAsia="Times New Roman"/>
        </w:rPr>
        <w:t>COT</w:t>
      </w:r>
      <w:r w:rsidR="00B45A9B">
        <w:rPr>
          <w:rFonts w:eastAsia="Times New Roman"/>
        </w:rPr>
        <w:t xml:space="preserve">. </w:t>
      </w:r>
      <w:bookmarkStart w:id="3" w:name="_Hlk529558929"/>
      <w:r w:rsidR="00CD60A3">
        <w:rPr>
          <w:rFonts w:eastAsia="Times New Roman"/>
        </w:rPr>
        <w:t xml:space="preserve">It is recommended that Cat 4 channel access is used for </w:t>
      </w:r>
      <w:proofErr w:type="spellStart"/>
      <w:r w:rsidR="00CD60A3">
        <w:rPr>
          <w:rFonts w:eastAsia="Times New Roman"/>
        </w:rPr>
        <w:t>gNB</w:t>
      </w:r>
      <w:proofErr w:type="spellEnd"/>
      <w:r w:rsidR="00CD60A3">
        <w:rPr>
          <w:rFonts w:eastAsia="Times New Roman"/>
        </w:rPr>
        <w:t xml:space="preserve"> or UE to initiate a COT for normal data transmissions, while </w:t>
      </w:r>
      <w:proofErr w:type="spellStart"/>
      <w:r w:rsidR="00CD60A3">
        <w:rPr>
          <w:rFonts w:eastAsia="Times New Roman"/>
        </w:rPr>
        <w:t>gNB</w:t>
      </w:r>
      <w:proofErr w:type="spellEnd"/>
      <w:r w:rsidR="00CD60A3">
        <w:rPr>
          <w:rFonts w:eastAsia="Times New Roman"/>
        </w:rPr>
        <w:t xml:space="preserve"> can use Cat 2 channel access for DRS transmission when DRS satisfies some conditions</w:t>
      </w:r>
      <w:r w:rsidR="00E11983">
        <w:rPr>
          <w:rFonts w:eastAsia="Times New Roman"/>
        </w:rPr>
        <w:t xml:space="preserve"> (Section 7.2.1.3.1)</w:t>
      </w:r>
      <w:r w:rsidR="00CD60A3">
        <w:rPr>
          <w:rFonts w:eastAsia="Times New Roman"/>
        </w:rPr>
        <w:t xml:space="preserve">. </w:t>
      </w:r>
      <w:r w:rsidR="009D2EA9">
        <w:rPr>
          <w:rFonts w:eastAsia="Times New Roman"/>
        </w:rPr>
        <w:t xml:space="preserve">It is recommended that </w:t>
      </w:r>
      <w:r w:rsidR="00843F8E">
        <w:rPr>
          <w:rFonts w:eastAsia="Times New Roman"/>
        </w:rPr>
        <w:t xml:space="preserve">for a </w:t>
      </w:r>
      <w:r w:rsidR="00327BFB">
        <w:rPr>
          <w:rFonts w:eastAsia="Times New Roman"/>
        </w:rPr>
        <w:t xml:space="preserve">switching point </w:t>
      </w:r>
      <w:r w:rsidR="00843F8E">
        <w:rPr>
          <w:rFonts w:eastAsia="Times New Roman"/>
        </w:rPr>
        <w:t xml:space="preserve">gap of </w:t>
      </w:r>
      <w:r w:rsidR="00CA2F81">
        <w:rPr>
          <w:rFonts w:eastAsia="Times New Roman"/>
        </w:rPr>
        <w:t>up to</w:t>
      </w:r>
      <w:r w:rsidR="00E66B75">
        <w:rPr>
          <w:rFonts w:eastAsia="Times New Roman"/>
        </w:rPr>
        <w:t xml:space="preserve"> 16 µs</w:t>
      </w:r>
      <w:r w:rsidR="00843F8E">
        <w:rPr>
          <w:rFonts w:eastAsia="Times New Roman"/>
        </w:rPr>
        <w:t xml:space="preserve">, where the gap accommodates for the </w:t>
      </w:r>
      <w:r w:rsidR="00327BFB">
        <w:rPr>
          <w:rFonts w:eastAsia="Times New Roman"/>
        </w:rPr>
        <w:t>transceiver</w:t>
      </w:r>
      <w:r w:rsidR="00843F8E">
        <w:rPr>
          <w:rFonts w:eastAsia="Times New Roman"/>
        </w:rPr>
        <w:t xml:space="preserve"> turn</w:t>
      </w:r>
      <w:r w:rsidR="00327BFB">
        <w:rPr>
          <w:rFonts w:eastAsia="Times New Roman"/>
        </w:rPr>
        <w:t xml:space="preserve">around time, </w:t>
      </w:r>
      <w:commentRangeStart w:id="4"/>
      <w:r w:rsidR="00327BFB">
        <w:rPr>
          <w:rFonts w:eastAsia="Times New Roman"/>
        </w:rPr>
        <w:t xml:space="preserve">immediate transmission </w:t>
      </w:r>
      <w:commentRangeEnd w:id="4"/>
      <w:r w:rsidR="00DE240D">
        <w:rPr>
          <w:rStyle w:val="CommentReference"/>
        </w:rPr>
        <w:commentReference w:id="4"/>
      </w:r>
      <w:r w:rsidR="00327BFB">
        <w:rPr>
          <w:rFonts w:eastAsia="Times New Roman"/>
        </w:rPr>
        <w:t>can take place</w:t>
      </w:r>
      <w:r w:rsidR="00E66B75">
        <w:rPr>
          <w:rFonts w:eastAsia="Times New Roman"/>
        </w:rPr>
        <w:t xml:space="preserve"> </w:t>
      </w:r>
      <w:r w:rsidR="00327BFB">
        <w:rPr>
          <w:rFonts w:eastAsia="Times New Roman"/>
        </w:rPr>
        <w:t>with</w:t>
      </w:r>
      <w:r w:rsidR="00EE0D4B">
        <w:rPr>
          <w:rFonts w:eastAsia="Times New Roman"/>
        </w:rPr>
        <w:t>in the same COT</w:t>
      </w:r>
      <w:bookmarkEnd w:id="3"/>
      <w:r w:rsidR="00E66B75">
        <w:rPr>
          <w:rFonts w:eastAsia="Times New Roman"/>
        </w:rPr>
        <w:t xml:space="preserve">. It is recommended that </w:t>
      </w:r>
      <w:r w:rsidR="00327BFB">
        <w:rPr>
          <w:rFonts w:eastAsia="Times New Roman"/>
        </w:rPr>
        <w:t>for a gap</w:t>
      </w:r>
      <w:r w:rsidR="00E66B75">
        <w:rPr>
          <w:rFonts w:eastAsia="Times New Roman"/>
        </w:rPr>
        <w:t xml:space="preserve"> </w:t>
      </w:r>
      <w:r w:rsidR="001B0591">
        <w:rPr>
          <w:rFonts w:eastAsia="Times New Roman"/>
        </w:rPr>
        <w:t xml:space="preserve">of </w:t>
      </w:r>
      <w:r w:rsidR="00327BFB">
        <w:rPr>
          <w:rFonts w:eastAsia="Times New Roman"/>
        </w:rPr>
        <w:t>more than</w:t>
      </w:r>
      <w:r w:rsidR="00E66B75">
        <w:rPr>
          <w:rFonts w:eastAsia="Times New Roman"/>
        </w:rPr>
        <w:t xml:space="preserve"> </w:t>
      </w:r>
      <w:bookmarkStart w:id="5" w:name="_Hlk529527873"/>
      <w:r w:rsidR="00E66B75">
        <w:rPr>
          <w:rFonts w:eastAsia="Times New Roman"/>
        </w:rPr>
        <w:t xml:space="preserve">16 µs but </w:t>
      </w:r>
      <w:r w:rsidR="00327BFB">
        <w:rPr>
          <w:rFonts w:eastAsia="Times New Roman"/>
        </w:rPr>
        <w:t xml:space="preserve">less than </w:t>
      </w:r>
      <w:r w:rsidR="00E66B75">
        <w:rPr>
          <w:rFonts w:eastAsia="Times New Roman"/>
        </w:rPr>
        <w:t>25 µs</w:t>
      </w:r>
      <w:bookmarkEnd w:id="5"/>
      <w:r w:rsidR="00327BFB">
        <w:rPr>
          <w:rFonts w:eastAsia="Times New Roman"/>
        </w:rPr>
        <w:t>,</w:t>
      </w:r>
      <w:r w:rsidR="00E66B75">
        <w:rPr>
          <w:rFonts w:eastAsia="Times New Roman"/>
        </w:rPr>
        <w:t xml:space="preserve"> </w:t>
      </w:r>
      <w:r w:rsidR="00E336CE">
        <w:rPr>
          <w:rFonts w:eastAsia="Times New Roman"/>
        </w:rPr>
        <w:t xml:space="preserve">Cat 2 </w:t>
      </w:r>
      <w:r w:rsidR="00327BFB">
        <w:rPr>
          <w:rFonts w:eastAsia="Times New Roman"/>
        </w:rPr>
        <w:t>LBT</w:t>
      </w:r>
      <w:r w:rsidR="001B0591">
        <w:rPr>
          <w:rFonts w:eastAsia="Times New Roman"/>
        </w:rPr>
        <w:t xml:space="preserve"> </w:t>
      </w:r>
      <w:r w:rsidR="00327BFB">
        <w:rPr>
          <w:rFonts w:eastAsia="Times New Roman"/>
        </w:rPr>
        <w:t>can be used</w:t>
      </w:r>
      <w:r w:rsidR="00EE0D4B">
        <w:rPr>
          <w:rFonts w:eastAsia="Times New Roman"/>
        </w:rPr>
        <w:t xml:space="preserve"> </w:t>
      </w:r>
      <w:r w:rsidR="00327BFB">
        <w:rPr>
          <w:rFonts w:eastAsia="Times New Roman"/>
        </w:rPr>
        <w:t>with</w:t>
      </w:r>
      <w:r w:rsidR="00EE0D4B">
        <w:rPr>
          <w:rFonts w:eastAsia="Times New Roman"/>
        </w:rPr>
        <w:t>in the same COT</w:t>
      </w:r>
      <w:r w:rsidR="009D2EA9">
        <w:rPr>
          <w:rFonts w:eastAsia="Times New Roman"/>
        </w:rPr>
        <w:t>.</w:t>
      </w:r>
      <w:r w:rsidR="00B45A9B">
        <w:rPr>
          <w:rFonts w:eastAsia="Times New Roman"/>
        </w:rPr>
        <w:t xml:space="preserve"> It is also recommended that </w:t>
      </w:r>
      <w:r w:rsidR="00327BFB">
        <w:rPr>
          <w:rFonts w:eastAsia="Times New Roman"/>
        </w:rPr>
        <w:t xml:space="preserve">for a single switch point </w:t>
      </w:r>
      <w:r w:rsidR="009D1E29">
        <w:rPr>
          <w:rFonts w:eastAsia="Times New Roman"/>
        </w:rPr>
        <w:t xml:space="preserve">within a </w:t>
      </w:r>
      <w:r w:rsidR="00E336CE">
        <w:rPr>
          <w:rFonts w:eastAsia="Times New Roman"/>
        </w:rPr>
        <w:t>COT</w:t>
      </w:r>
      <w:r w:rsidR="009D1E29">
        <w:rPr>
          <w:rFonts w:eastAsia="Times New Roman"/>
        </w:rPr>
        <w:t xml:space="preserve"> case, </w:t>
      </w:r>
      <w:r w:rsidR="00327BFB">
        <w:rPr>
          <w:rFonts w:eastAsia="Times New Roman"/>
        </w:rPr>
        <w:t xml:space="preserve">where the </w:t>
      </w:r>
      <w:r w:rsidR="00B95C86">
        <w:rPr>
          <w:rFonts w:eastAsia="Times New Roman"/>
        </w:rPr>
        <w:t xml:space="preserve">switching </w:t>
      </w:r>
      <w:r w:rsidR="00327BFB">
        <w:rPr>
          <w:rFonts w:eastAsia="Times New Roman"/>
        </w:rPr>
        <w:t xml:space="preserve">gap exceeds </w:t>
      </w:r>
      <w:r w:rsidR="00B45A9B">
        <w:rPr>
          <w:rFonts w:eastAsia="Times New Roman"/>
        </w:rPr>
        <w:t>25 µs</w:t>
      </w:r>
      <w:r w:rsidR="00327BFB">
        <w:rPr>
          <w:rFonts w:eastAsia="Times New Roman"/>
        </w:rPr>
        <w:t xml:space="preserve">, </w:t>
      </w:r>
      <w:r w:rsidR="00E336CE">
        <w:rPr>
          <w:rFonts w:eastAsia="Times New Roman"/>
        </w:rPr>
        <w:t xml:space="preserve">Cat 2 </w:t>
      </w:r>
      <w:r w:rsidR="00327BFB">
        <w:rPr>
          <w:rFonts w:eastAsia="Times New Roman"/>
        </w:rPr>
        <w:t>LBT</w:t>
      </w:r>
      <w:r w:rsidR="001B0591">
        <w:rPr>
          <w:rFonts w:eastAsia="Times New Roman"/>
        </w:rPr>
        <w:t xml:space="preserve"> </w:t>
      </w:r>
      <w:r w:rsidR="00327BFB">
        <w:rPr>
          <w:rFonts w:eastAsia="Times New Roman"/>
        </w:rPr>
        <w:t>can be used</w:t>
      </w:r>
      <w:r w:rsidR="00B45A9B">
        <w:rPr>
          <w:rFonts w:eastAsia="Times New Roman"/>
        </w:rPr>
        <w:t xml:space="preserve"> </w:t>
      </w:r>
      <w:r w:rsidR="00327BFB">
        <w:rPr>
          <w:rFonts w:eastAsia="Times New Roman"/>
        </w:rPr>
        <w:t>within</w:t>
      </w:r>
      <w:r w:rsidR="00B45A9B">
        <w:rPr>
          <w:rFonts w:eastAsia="Times New Roman"/>
        </w:rPr>
        <w:t xml:space="preserve"> the </w:t>
      </w:r>
      <w:r w:rsidR="00327BFB">
        <w:rPr>
          <w:rFonts w:eastAsia="Times New Roman"/>
        </w:rPr>
        <w:t xml:space="preserve">same </w:t>
      </w:r>
      <w:r w:rsidR="00B45A9B">
        <w:rPr>
          <w:rFonts w:eastAsia="Times New Roman"/>
        </w:rPr>
        <w:t>COT</w:t>
      </w:r>
      <w:r w:rsidR="00E11983">
        <w:rPr>
          <w:rFonts w:eastAsia="Times New Roman"/>
        </w:rPr>
        <w:t xml:space="preserve"> (Section 7.2.1.3.1)</w:t>
      </w:r>
      <w:r w:rsidR="00B45A9B">
        <w:rPr>
          <w:rFonts w:eastAsia="Times New Roman"/>
        </w:rPr>
        <w:t>.</w:t>
      </w:r>
      <w:r w:rsidR="00337614">
        <w:rPr>
          <w:rFonts w:eastAsia="Times New Roman"/>
        </w:rPr>
        <w:t xml:space="preserve"> </w:t>
      </w:r>
      <w:r w:rsidR="004E4BD6">
        <w:rPr>
          <w:rFonts w:eastAsia="Times New Roman"/>
        </w:rPr>
        <w:t xml:space="preserve">Partial slot transmission at the beginning of the </w:t>
      </w:r>
      <w:proofErr w:type="spellStart"/>
      <w:r w:rsidR="004E4BD6">
        <w:rPr>
          <w:rFonts w:eastAsia="Times New Roman"/>
        </w:rPr>
        <w:t>gNB</w:t>
      </w:r>
      <w:proofErr w:type="spellEnd"/>
      <w:r w:rsidR="004E4BD6">
        <w:rPr>
          <w:rFonts w:eastAsia="Times New Roman"/>
        </w:rPr>
        <w:t xml:space="preserve"> </w:t>
      </w:r>
      <w:r w:rsidR="00B67C3C">
        <w:rPr>
          <w:rFonts w:eastAsia="Times New Roman"/>
        </w:rPr>
        <w:t xml:space="preserve">or UE </w:t>
      </w:r>
      <w:r w:rsidR="003253CD">
        <w:rPr>
          <w:rFonts w:eastAsia="Times New Roman"/>
        </w:rPr>
        <w:t xml:space="preserve">initiated </w:t>
      </w:r>
      <w:r w:rsidR="004E4BD6">
        <w:rPr>
          <w:rFonts w:eastAsia="Times New Roman"/>
        </w:rPr>
        <w:t xml:space="preserve">COT is identified as beneficial with multiple techniques </w:t>
      </w:r>
      <w:r w:rsidR="00337614">
        <w:rPr>
          <w:rFonts w:eastAsia="Times New Roman"/>
        </w:rPr>
        <w:t xml:space="preserve">to support partial slot transmissions </w:t>
      </w:r>
      <w:r w:rsidR="004E4BD6">
        <w:rPr>
          <w:rFonts w:eastAsia="Times New Roman"/>
        </w:rPr>
        <w:t xml:space="preserve">identified. </w:t>
      </w:r>
    </w:p>
    <w:p w14:paraId="4F33660F" w14:textId="12DBE051" w:rsidR="00D50299" w:rsidRDefault="00E336CE" w:rsidP="009D2EA9">
      <w:pPr>
        <w:rPr>
          <w:rFonts w:eastAsia="Times New Roman"/>
        </w:rPr>
      </w:pPr>
      <w:r>
        <w:rPr>
          <w:rFonts w:eastAsia="Times New Roman"/>
        </w:rPr>
        <w:t>[</w:t>
      </w:r>
      <w:r w:rsidR="004E4BD6">
        <w:rPr>
          <w:rFonts w:eastAsia="Times New Roman"/>
        </w:rPr>
        <w:t xml:space="preserve">Benefits of FBE operation has been identified when LBE nodes are absent on a </w:t>
      </w:r>
      <w:proofErr w:type="gramStart"/>
      <w:r w:rsidR="004E4BD6">
        <w:rPr>
          <w:rFonts w:eastAsia="Times New Roman"/>
        </w:rPr>
        <w:t>long term</w:t>
      </w:r>
      <w:proofErr w:type="gramEnd"/>
      <w:r w:rsidR="004E4BD6">
        <w:rPr>
          <w:rFonts w:eastAsia="Times New Roman"/>
        </w:rPr>
        <w:t xml:space="preserve"> basis</w:t>
      </w:r>
      <w:r w:rsidR="00303A5C">
        <w:rPr>
          <w:rFonts w:eastAsia="Times New Roman"/>
        </w:rPr>
        <w:t xml:space="preserve"> and synchronized deployment is possible</w:t>
      </w:r>
      <w:r w:rsidR="004E4BD6">
        <w:rPr>
          <w:rFonts w:eastAsia="Times New Roman"/>
        </w:rPr>
        <w:t>.</w:t>
      </w:r>
      <w:r w:rsidR="005B5564">
        <w:rPr>
          <w:rFonts w:eastAsia="Times New Roman"/>
        </w:rPr>
        <w:t xml:space="preserve"> </w:t>
      </w:r>
      <w:r w:rsidR="00337614">
        <w:rPr>
          <w:rFonts w:eastAsia="Times New Roman"/>
        </w:rPr>
        <w:t xml:space="preserve">According to regulation, the channel access of FBE is in unit of fixed frame periods. </w:t>
      </w:r>
      <w:r>
        <w:rPr>
          <w:rFonts w:eastAsia="Times New Roman"/>
        </w:rPr>
        <w:t xml:space="preserve">A Cat 2 </w:t>
      </w:r>
      <w:r w:rsidR="00337614">
        <w:rPr>
          <w:rFonts w:eastAsia="Times New Roman"/>
        </w:rPr>
        <w:t xml:space="preserve">LBT is used before each fixed frame period to </w:t>
      </w:r>
      <w:r w:rsidR="00B04724">
        <w:rPr>
          <w:rFonts w:eastAsia="Times New Roman"/>
        </w:rPr>
        <w:t>determine if the fixed frame period can be occupied. Within an occupied fixed frame period, for a switching point gap of up to 16 µs, where the gap accommodates for the transceiver turnaroun</w:t>
      </w:r>
      <w:r>
        <w:rPr>
          <w:rFonts w:eastAsia="Times New Roman"/>
        </w:rPr>
        <w:t xml:space="preserve">d time, immediate transmission </w:t>
      </w:r>
      <w:r w:rsidR="00B04724">
        <w:rPr>
          <w:rFonts w:eastAsia="Times New Roman"/>
        </w:rPr>
        <w:t xml:space="preserve">can take place. For a gap of more than 16 µs in an occupied fixed frame period, </w:t>
      </w:r>
      <w:r>
        <w:rPr>
          <w:rFonts w:eastAsia="Times New Roman"/>
        </w:rPr>
        <w:t xml:space="preserve">Cat 2 </w:t>
      </w:r>
      <w:r w:rsidR="00B04724">
        <w:rPr>
          <w:rFonts w:eastAsia="Times New Roman"/>
        </w:rPr>
        <w:t>LBT can be use</w:t>
      </w:r>
      <w:r w:rsidR="00CD60A3">
        <w:rPr>
          <w:rFonts w:eastAsia="Times New Roman"/>
        </w:rPr>
        <w:t>d.</w:t>
      </w:r>
      <w:r>
        <w:rPr>
          <w:rFonts w:eastAsia="Times New Roman"/>
        </w:rPr>
        <w:t>]</w:t>
      </w:r>
    </w:p>
    <w:p w14:paraId="66260F36" w14:textId="59333005" w:rsidR="00D50299" w:rsidRDefault="007000D0" w:rsidP="009D2EA9">
      <w:pPr>
        <w:rPr>
          <w:rFonts w:eastAsia="Times New Roman"/>
        </w:rPr>
      </w:pPr>
      <w:r>
        <w:rPr>
          <w:rFonts w:eastAsia="Times New Roman"/>
        </w:rPr>
        <w:t xml:space="preserve">The enhancement needed for initial access </w:t>
      </w:r>
      <w:r w:rsidR="007951F2">
        <w:rPr>
          <w:rFonts w:eastAsia="Times New Roman"/>
        </w:rPr>
        <w:t xml:space="preserve">and mobility </w:t>
      </w:r>
      <w:r>
        <w:rPr>
          <w:rFonts w:eastAsia="Times New Roman"/>
        </w:rPr>
        <w:t xml:space="preserve">procedures are captured in </w:t>
      </w:r>
      <w:r w:rsidR="002A6E64">
        <w:rPr>
          <w:rFonts w:eastAsia="Times New Roman"/>
        </w:rPr>
        <w:t>S</w:t>
      </w:r>
      <w:r>
        <w:rPr>
          <w:rFonts w:eastAsia="Times New Roman"/>
        </w:rPr>
        <w:t xml:space="preserve">ection 7.2.1.3.2. </w:t>
      </w:r>
      <w:r w:rsidR="00D50299">
        <w:rPr>
          <w:rFonts w:eastAsia="Times New Roman"/>
        </w:rPr>
        <w:t xml:space="preserve">The issue of </w:t>
      </w:r>
      <w:r w:rsidR="00A47E5E">
        <w:rPr>
          <w:rFonts w:eastAsia="Times New Roman"/>
        </w:rPr>
        <w:t>reduced transmission opportunities</w:t>
      </w:r>
      <w:r w:rsidR="00D50299">
        <w:rPr>
          <w:rFonts w:eastAsia="Times New Roman"/>
        </w:rPr>
        <w:t xml:space="preserve"> due to LBT failure for SS/PBCH block transmission, m</w:t>
      </w:r>
      <w:r w:rsidR="007951F2">
        <w:rPr>
          <w:rFonts w:eastAsia="Times New Roman"/>
        </w:rPr>
        <w:t>essage</w:t>
      </w:r>
      <w:r w:rsidR="00D50299">
        <w:rPr>
          <w:rFonts w:eastAsia="Times New Roman"/>
        </w:rPr>
        <w:t xml:space="preserve"> 1/2/3/4 transmission in 4-step RACH proce</w:t>
      </w:r>
      <w:r w:rsidR="007951F2">
        <w:rPr>
          <w:rFonts w:eastAsia="Times New Roman"/>
        </w:rPr>
        <w:t>dure</w:t>
      </w:r>
      <w:r w:rsidR="00D50299">
        <w:rPr>
          <w:rFonts w:eastAsia="Times New Roman"/>
        </w:rPr>
        <w:t>, RLM/RRM, and paging has been identified</w:t>
      </w:r>
      <w:r w:rsidR="007951F2">
        <w:rPr>
          <w:rFonts w:eastAsia="Times New Roman"/>
        </w:rPr>
        <w:t>,</w:t>
      </w:r>
      <w:r w:rsidR="00D50299">
        <w:rPr>
          <w:rFonts w:eastAsia="Times New Roman"/>
        </w:rPr>
        <w:t xml:space="preserve"> and </w:t>
      </w:r>
      <w:r>
        <w:rPr>
          <w:rFonts w:eastAsia="Times New Roman"/>
        </w:rPr>
        <w:t xml:space="preserve">some </w:t>
      </w:r>
      <w:r w:rsidR="00D50299">
        <w:rPr>
          <w:rFonts w:eastAsia="Times New Roman"/>
        </w:rPr>
        <w:t>enhancement</w:t>
      </w:r>
      <w:r>
        <w:rPr>
          <w:rFonts w:eastAsia="Times New Roman"/>
        </w:rPr>
        <w:t>s</w:t>
      </w:r>
      <w:r w:rsidR="00D50299">
        <w:rPr>
          <w:rFonts w:eastAsia="Times New Roman"/>
        </w:rPr>
        <w:t xml:space="preserve"> </w:t>
      </w:r>
      <w:r>
        <w:rPr>
          <w:rFonts w:eastAsia="Times New Roman"/>
        </w:rPr>
        <w:t xml:space="preserve">are </w:t>
      </w:r>
      <w:r w:rsidR="007951F2">
        <w:rPr>
          <w:rFonts w:eastAsia="Times New Roman"/>
        </w:rPr>
        <w:t>described</w:t>
      </w:r>
      <w:r w:rsidR="00D50299">
        <w:rPr>
          <w:rFonts w:eastAsia="Times New Roman"/>
        </w:rPr>
        <w:t xml:space="preserve">. </w:t>
      </w:r>
    </w:p>
    <w:p w14:paraId="0B1F0F45" w14:textId="0E877A06" w:rsidR="00D50299" w:rsidRDefault="00D50299" w:rsidP="009D2EA9">
      <w:pPr>
        <w:rPr>
          <w:rFonts w:eastAsia="Times New Roman"/>
        </w:rPr>
      </w:pPr>
      <w:r>
        <w:rPr>
          <w:rFonts w:eastAsia="Times New Roman"/>
        </w:rPr>
        <w:t xml:space="preserve">For HARQ, the benefit of supporting </w:t>
      </w:r>
      <w:r w:rsidR="00A404EE">
        <w:rPr>
          <w:rFonts w:eastAsia="Times New Roman"/>
        </w:rPr>
        <w:t xml:space="preserve">the transmission of </w:t>
      </w:r>
      <w:r>
        <w:rPr>
          <w:rFonts w:eastAsia="Times New Roman"/>
        </w:rPr>
        <w:t>all HARQ A/N within the same shared COT</w:t>
      </w:r>
      <w:r w:rsidR="00A404EE">
        <w:rPr>
          <w:rFonts w:eastAsia="Times New Roman"/>
        </w:rPr>
        <w:t xml:space="preserve"> as the PDSCH(s)</w:t>
      </w:r>
      <w:r>
        <w:rPr>
          <w:rFonts w:eastAsia="Times New Roman"/>
        </w:rPr>
        <w:t>, has been identified</w:t>
      </w:r>
      <w:r w:rsidR="008D5EBF">
        <w:rPr>
          <w:rFonts w:eastAsia="Times New Roman"/>
        </w:rPr>
        <w:t xml:space="preserve">. </w:t>
      </w:r>
      <w:r>
        <w:rPr>
          <w:rFonts w:eastAsia="Times New Roman"/>
        </w:rPr>
        <w:t xml:space="preserve">Multiple techniques to </w:t>
      </w:r>
      <w:r w:rsidR="008D5EBF">
        <w:rPr>
          <w:rFonts w:eastAsia="Times New Roman"/>
        </w:rPr>
        <w:t>handle reduced HARQ A/N transmission opportunities due to LBT failure have been identified (</w:t>
      </w:r>
      <w:r w:rsidR="002A6E64">
        <w:rPr>
          <w:rFonts w:eastAsia="Times New Roman"/>
        </w:rPr>
        <w:t>S</w:t>
      </w:r>
      <w:r w:rsidR="008D5EBF">
        <w:rPr>
          <w:rFonts w:eastAsia="Times New Roman"/>
        </w:rPr>
        <w:t>ection 7.2.1.3.3).</w:t>
      </w:r>
      <w:r w:rsidR="00B05A73">
        <w:rPr>
          <w:rFonts w:eastAsia="Times New Roman"/>
        </w:rPr>
        <w:t xml:space="preserve"> Furthermore, enhancements to UL scheduling, such as </w:t>
      </w:r>
      <w:r w:rsidR="00B05A73">
        <w:t>s</w:t>
      </w:r>
      <w:r w:rsidR="00B05A73" w:rsidRPr="00ED02EE">
        <w:t xml:space="preserve">cheduling multiple </w:t>
      </w:r>
      <w:r w:rsidR="007951F2">
        <w:t>slots</w:t>
      </w:r>
      <w:r w:rsidR="007951F2" w:rsidRPr="00ED02EE">
        <w:t xml:space="preserve"> </w:t>
      </w:r>
      <w:r w:rsidR="00B05A73" w:rsidRPr="00ED02EE">
        <w:t>for PUSCH</w:t>
      </w:r>
      <w:r w:rsidR="003253CD">
        <w:t>(s)</w:t>
      </w:r>
      <w:r w:rsidR="00B05A73" w:rsidRPr="00ED02EE">
        <w:t xml:space="preserve"> using a single UL grant</w:t>
      </w:r>
      <w:r w:rsidR="00D63C0D">
        <w:t xml:space="preserve">, as is possible for </w:t>
      </w:r>
      <w:r w:rsidR="007951F2">
        <w:t>LTE-</w:t>
      </w:r>
      <w:proofErr w:type="spellStart"/>
      <w:r w:rsidR="007951F2">
        <w:t>e</w:t>
      </w:r>
      <w:r w:rsidR="00D63C0D">
        <w:t>LAA</w:t>
      </w:r>
      <w:proofErr w:type="spellEnd"/>
      <w:r w:rsidR="00D63C0D">
        <w:t>,</w:t>
      </w:r>
      <w:r w:rsidR="00B04724">
        <w:t xml:space="preserve"> </w:t>
      </w:r>
      <w:r w:rsidR="00B05A73">
        <w:t>were identified as beneficial.</w:t>
      </w:r>
    </w:p>
    <w:p w14:paraId="701F5231" w14:textId="7E61043A" w:rsidR="008D5EBF" w:rsidRDefault="008D5EBF" w:rsidP="00DB70F5">
      <w:pPr>
        <w:rPr>
          <w:rFonts w:eastAsia="Times New Roman"/>
        </w:rPr>
      </w:pPr>
      <w:r>
        <w:rPr>
          <w:rFonts w:eastAsia="Times New Roman"/>
        </w:rPr>
        <w:t>For configured grant, the benefit of enhancing the NR design for NR-U has been identified</w:t>
      </w:r>
      <w:r w:rsidR="007000D0">
        <w:rPr>
          <w:rFonts w:eastAsia="Times New Roman"/>
        </w:rPr>
        <w:t xml:space="preserve"> (</w:t>
      </w:r>
      <w:r w:rsidR="002A6E64">
        <w:rPr>
          <w:rFonts w:eastAsia="Times New Roman"/>
        </w:rPr>
        <w:t>S</w:t>
      </w:r>
      <w:r w:rsidR="007000D0">
        <w:rPr>
          <w:rFonts w:eastAsia="Times New Roman"/>
        </w:rPr>
        <w:t>ection 7.2.1.3.4).</w:t>
      </w:r>
      <w:r w:rsidR="00A47E5E">
        <w:rPr>
          <w:rFonts w:eastAsia="Times New Roman"/>
        </w:rPr>
        <w:t xml:space="preserve"> </w:t>
      </w:r>
      <w:r w:rsidR="00DB70F5" w:rsidRPr="00DB70F5">
        <w:rPr>
          <w:rFonts w:eastAsia="Times New Roman"/>
        </w:rPr>
        <w:t xml:space="preserve">Introducing UCI on PUSCH to carry HARQ process ID, NDI, RVID </w:t>
      </w:r>
      <w:r w:rsidR="00DB70F5">
        <w:rPr>
          <w:rFonts w:eastAsia="Times New Roman"/>
        </w:rPr>
        <w:t>has been identified as beneficial in r</w:t>
      </w:r>
      <w:r w:rsidR="00DB70F5" w:rsidRPr="00DB70F5">
        <w:rPr>
          <w:rFonts w:eastAsia="Times New Roman"/>
        </w:rPr>
        <w:t>emoving dependencies of HARQ process information to the timing</w:t>
      </w:r>
      <w:r w:rsidR="00DB70F5">
        <w:rPr>
          <w:rFonts w:eastAsia="Times New Roman"/>
        </w:rPr>
        <w:t xml:space="preserve">. The identified enhancements </w:t>
      </w:r>
      <w:r w:rsidR="00287F16">
        <w:rPr>
          <w:rFonts w:eastAsia="Times New Roman"/>
        </w:rPr>
        <w:t xml:space="preserve">also </w:t>
      </w:r>
      <w:r w:rsidR="00DB70F5">
        <w:rPr>
          <w:rFonts w:eastAsia="Times New Roman"/>
        </w:rPr>
        <w:t>include i</w:t>
      </w:r>
      <w:r w:rsidR="00DB70F5" w:rsidRPr="00DB70F5">
        <w:rPr>
          <w:rFonts w:eastAsia="Times New Roman"/>
        </w:rPr>
        <w:t>ntroducing Downlink Feedback Information (DFI) including HARQ feedback for configured grant transmission</w:t>
      </w:r>
      <w:r w:rsidR="00DB70F5">
        <w:rPr>
          <w:rFonts w:eastAsia="Times New Roman"/>
        </w:rPr>
        <w:t>, i</w:t>
      </w:r>
      <w:r w:rsidR="00DB70F5" w:rsidRPr="00DB70F5">
        <w:rPr>
          <w:rFonts w:eastAsia="Times New Roman"/>
        </w:rPr>
        <w:t>ncreased flexibility on time domain resource allocation for the configured grant transmissions</w:t>
      </w:r>
      <w:r w:rsidR="00DB70F5">
        <w:rPr>
          <w:rFonts w:eastAsia="Times New Roman"/>
        </w:rPr>
        <w:t xml:space="preserve"> and s</w:t>
      </w:r>
      <w:r w:rsidR="00DB70F5" w:rsidRPr="00DB70F5">
        <w:rPr>
          <w:rFonts w:eastAsia="Times New Roman"/>
        </w:rPr>
        <w:t>upporting retransmissions without explicit UL grant</w:t>
      </w:r>
      <w:r w:rsidR="00DB70F5">
        <w:rPr>
          <w:rFonts w:eastAsia="Times New Roman"/>
        </w:rPr>
        <w:t xml:space="preserve">. </w:t>
      </w:r>
    </w:p>
    <w:p w14:paraId="73C49897" w14:textId="77777777" w:rsidR="00DB592A" w:rsidRDefault="007000D0" w:rsidP="004E4BD6">
      <w:pPr>
        <w:rPr>
          <w:rFonts w:eastAsia="Times New Roman"/>
        </w:rPr>
      </w:pPr>
      <w:r>
        <w:rPr>
          <w:rFonts w:eastAsia="Times New Roman"/>
        </w:rPr>
        <w:t>The enhancements identified for physical layer signa</w:t>
      </w:r>
      <w:r w:rsidR="00DB592A">
        <w:rPr>
          <w:rFonts w:eastAsia="Times New Roman"/>
        </w:rPr>
        <w:t>l and channels are captured in S</w:t>
      </w:r>
      <w:r>
        <w:rPr>
          <w:rFonts w:eastAsia="Times New Roman"/>
        </w:rPr>
        <w:t xml:space="preserve">ection 7.2.1.2. </w:t>
      </w:r>
    </w:p>
    <w:p w14:paraId="44FAB63F" w14:textId="4BB7FDE6" w:rsidR="004E4BD6" w:rsidRDefault="004E4BD6" w:rsidP="004E4BD6">
      <w:pPr>
        <w:rPr>
          <w:rFonts w:eastAsia="Times New Roman"/>
        </w:rPr>
      </w:pPr>
      <w:r>
        <w:rPr>
          <w:rFonts w:eastAsia="Times New Roman"/>
        </w:rPr>
        <w:t>For SS/PBCH block transmission in NR-U DRS, it has been identified as beneficial to include CSI-RS and RMSI-CORESET(s) and RMSI-PDSCH(s) in the same contiguous burst</w:t>
      </w:r>
      <w:r w:rsidR="006849CA">
        <w:rPr>
          <w:rFonts w:eastAsia="Times New Roman"/>
        </w:rPr>
        <w:t xml:space="preserve"> when transmission of </w:t>
      </w:r>
      <w:r w:rsidR="00A404EE">
        <w:rPr>
          <w:rFonts w:eastAsia="Times New Roman"/>
        </w:rPr>
        <w:t>CSI-RS/RMSI</w:t>
      </w:r>
      <w:r w:rsidR="006849CA">
        <w:rPr>
          <w:rFonts w:eastAsia="Times New Roman"/>
        </w:rPr>
        <w:t xml:space="preserve"> are configured</w:t>
      </w:r>
      <w:r>
        <w:rPr>
          <w:rFonts w:eastAsia="Times New Roman"/>
        </w:rPr>
        <w:t xml:space="preserve">. </w:t>
      </w:r>
      <w:r w:rsidR="00DD0904">
        <w:rPr>
          <w:rFonts w:eastAsia="Times New Roman"/>
        </w:rPr>
        <w:t xml:space="preserve">Optionally </w:t>
      </w:r>
      <w:r>
        <w:rPr>
          <w:rFonts w:eastAsia="Times New Roman"/>
        </w:rPr>
        <w:t>OSI and paging can be transmitted in the same DRS</w:t>
      </w:r>
      <w:r w:rsidR="00DD0904">
        <w:rPr>
          <w:rFonts w:eastAsia="Times New Roman"/>
        </w:rPr>
        <w:t xml:space="preserve"> </w:t>
      </w:r>
      <w:r w:rsidR="00DD0904">
        <w:t>if there are available resources</w:t>
      </w:r>
      <w:r>
        <w:rPr>
          <w:rFonts w:eastAsia="Times New Roman"/>
        </w:rPr>
        <w:t>.</w:t>
      </w:r>
      <w:r w:rsidR="00D37D14">
        <w:rPr>
          <w:rFonts w:eastAsia="Times New Roman"/>
        </w:rPr>
        <w:t xml:space="preserve"> </w:t>
      </w:r>
    </w:p>
    <w:p w14:paraId="26F9E6D9" w14:textId="2FE8EF8A" w:rsidR="00B45A9B" w:rsidRDefault="004E4BD6" w:rsidP="009D2EA9">
      <w:pPr>
        <w:rPr>
          <w:rFonts w:eastAsia="Times New Roman"/>
        </w:rPr>
      </w:pPr>
      <w:r>
        <w:rPr>
          <w:rFonts w:eastAsia="Times New Roman"/>
        </w:rPr>
        <w:t>For UL signals/channels, a</w:t>
      </w:r>
      <w:r w:rsidR="00E9511C">
        <w:rPr>
          <w:rFonts w:eastAsia="Times New Roman"/>
        </w:rPr>
        <w:t xml:space="preserve"> study on the waveform design to satisfy the Occupied Channel Bandwidth requirement and Power Spectrum Density requirements of unlicensed bands was conducted, </w:t>
      </w:r>
      <w:r w:rsidR="0099549F">
        <w:rPr>
          <w:rFonts w:eastAsia="Times New Roman"/>
        </w:rPr>
        <w:t>and it was determined that it is feasible to introduce a</w:t>
      </w:r>
      <w:r w:rsidR="00E9511C">
        <w:rPr>
          <w:rFonts w:eastAsia="Times New Roman"/>
        </w:rPr>
        <w:t xml:space="preserve"> block-interlaced waveform for PUCCH and PUSCH </w:t>
      </w:r>
      <w:r w:rsidR="0099549F">
        <w:rPr>
          <w:rFonts w:eastAsia="Times New Roman"/>
        </w:rPr>
        <w:t>for UL as enhancements to existing NR UL waveforms to satisfy the requirements</w:t>
      </w:r>
      <w:r w:rsidR="00A404EE">
        <w:rPr>
          <w:rFonts w:eastAsia="Times New Roman"/>
        </w:rPr>
        <w:t xml:space="preserve">. </w:t>
      </w:r>
      <w:r w:rsidR="009C7C25" w:rsidRPr="003A0D5C">
        <w:t xml:space="preserve">It has been identified that enhancement of one or more </w:t>
      </w:r>
      <w:r w:rsidR="00A404EE" w:rsidRPr="003A0D5C">
        <w:t>Rel.15 NR</w:t>
      </w:r>
      <w:r w:rsidR="009C7C25" w:rsidRPr="003A0D5C">
        <w:t xml:space="preserve"> PRACH formats is feasible.</w:t>
      </w:r>
      <w:r w:rsidR="00F34965" w:rsidRPr="003A0D5C">
        <w:t xml:space="preserve"> Several enhance</w:t>
      </w:r>
      <w:r w:rsidR="00A404EE" w:rsidRPr="003A0D5C">
        <w:t>ments to SRS design have been i</w:t>
      </w:r>
      <w:r w:rsidR="00F34965" w:rsidRPr="003A0D5C">
        <w:t>dentified.</w:t>
      </w:r>
    </w:p>
    <w:p w14:paraId="65C3007F" w14:textId="5354BA64" w:rsidR="003D56F2" w:rsidRDefault="007000D0" w:rsidP="003D56F2">
      <w:pPr>
        <w:rPr>
          <w:rFonts w:eastAsia="Times New Roman"/>
        </w:rPr>
      </w:pPr>
      <w:r>
        <w:rPr>
          <w:rFonts w:eastAsia="Times New Roman"/>
        </w:rPr>
        <w:t>[</w:t>
      </w:r>
      <w:r w:rsidR="003D56F2">
        <w:rPr>
          <w:rFonts w:eastAsia="Times New Roman"/>
        </w:rPr>
        <w:t>RAN2 procedures]</w:t>
      </w:r>
    </w:p>
    <w:p w14:paraId="555013E8" w14:textId="5F57183B" w:rsidR="002F0666" w:rsidRDefault="00DB592A" w:rsidP="003D56F2">
      <w:pPr>
        <w:rPr>
          <w:rFonts w:eastAsia="Times New Roman"/>
        </w:rPr>
      </w:pPr>
      <w:r>
        <w:rPr>
          <w:rFonts w:eastAsia="Times New Roman"/>
        </w:rPr>
        <w:t>[RAN4 part]</w:t>
      </w:r>
    </w:p>
    <w:p w14:paraId="4C9DA878" w14:textId="5754D5DD" w:rsidR="002A6E64" w:rsidRDefault="002A6E64" w:rsidP="003D56F2">
      <w:pPr>
        <w:rPr>
          <w:rFonts w:eastAsia="Times New Roman"/>
        </w:rPr>
      </w:pPr>
    </w:p>
    <w:p w14:paraId="6DFA9511" w14:textId="51FED243" w:rsidR="002A6E64" w:rsidRDefault="002A6E64" w:rsidP="002A6E64">
      <w:pPr>
        <w:rPr>
          <w:rFonts w:eastAsia="Times New Roman"/>
        </w:rPr>
      </w:pPr>
      <w:r>
        <w:rPr>
          <w:rFonts w:eastAsia="Times New Roman"/>
        </w:rPr>
        <w:lastRenderedPageBreak/>
        <w:t>===============TP ends=============================</w:t>
      </w:r>
    </w:p>
    <w:p w14:paraId="6C9D6A0E" w14:textId="77777777" w:rsidR="002A6E64" w:rsidRDefault="002A6E64" w:rsidP="003D56F2">
      <w:pPr>
        <w:rPr>
          <w:rFonts w:eastAsia="Times New Roman"/>
        </w:rPr>
      </w:pPr>
    </w:p>
    <w:sectPr w:rsidR="002A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S" w:date="2018-11-15T15:12:00Z" w:initials="QC">
    <w:p w14:paraId="082C8BE2" w14:textId="373ED3B0" w:rsidR="00DE240D" w:rsidRDefault="00DE240D">
      <w:pPr>
        <w:pStyle w:val="CommentText"/>
      </w:pPr>
      <w:r>
        <w:rPr>
          <w:rStyle w:val="CommentReference"/>
        </w:rPr>
        <w:annotationRef/>
      </w:r>
      <w:r>
        <w:t>Reminder: There will be further discussion on restrictions on length of the transmission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2C8BE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2C8BE2" w16cid:durableId="1F980B5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92EEF"/>
    <w:multiLevelType w:val="hybridMultilevel"/>
    <w:tmpl w:val="61B288E2"/>
    <w:lvl w:ilvl="0" w:tplc="A73A10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166A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86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EA1"/>
    <w:rsid w:val="00013AD7"/>
    <w:rsid w:val="000319D8"/>
    <w:rsid w:val="00055891"/>
    <w:rsid w:val="00132CD7"/>
    <w:rsid w:val="00160F31"/>
    <w:rsid w:val="001A0934"/>
    <w:rsid w:val="001A212D"/>
    <w:rsid w:val="001B0591"/>
    <w:rsid w:val="001D762F"/>
    <w:rsid w:val="0022119C"/>
    <w:rsid w:val="002270E8"/>
    <w:rsid w:val="00287F16"/>
    <w:rsid w:val="002A6E64"/>
    <w:rsid w:val="002F0666"/>
    <w:rsid w:val="00303A5C"/>
    <w:rsid w:val="003253CD"/>
    <w:rsid w:val="003267C1"/>
    <w:rsid w:val="00327BFB"/>
    <w:rsid w:val="00337614"/>
    <w:rsid w:val="00356DCB"/>
    <w:rsid w:val="00390A67"/>
    <w:rsid w:val="003A0D5C"/>
    <w:rsid w:val="003D56F2"/>
    <w:rsid w:val="004043D8"/>
    <w:rsid w:val="004240B0"/>
    <w:rsid w:val="00445783"/>
    <w:rsid w:val="00455C39"/>
    <w:rsid w:val="00477CE8"/>
    <w:rsid w:val="004A606A"/>
    <w:rsid w:val="004C5688"/>
    <w:rsid w:val="004E4BD6"/>
    <w:rsid w:val="00512627"/>
    <w:rsid w:val="0054743C"/>
    <w:rsid w:val="00582FE8"/>
    <w:rsid w:val="00583219"/>
    <w:rsid w:val="005924A1"/>
    <w:rsid w:val="005B170D"/>
    <w:rsid w:val="005B5564"/>
    <w:rsid w:val="005C2C3B"/>
    <w:rsid w:val="005E30C5"/>
    <w:rsid w:val="00626C2C"/>
    <w:rsid w:val="00626E60"/>
    <w:rsid w:val="0064054C"/>
    <w:rsid w:val="006849CA"/>
    <w:rsid w:val="006A5176"/>
    <w:rsid w:val="006D226F"/>
    <w:rsid w:val="007000D0"/>
    <w:rsid w:val="007225D2"/>
    <w:rsid w:val="00751B1D"/>
    <w:rsid w:val="007951F2"/>
    <w:rsid w:val="007A0279"/>
    <w:rsid w:val="008118A1"/>
    <w:rsid w:val="00814282"/>
    <w:rsid w:val="00843F8E"/>
    <w:rsid w:val="008B4670"/>
    <w:rsid w:val="008D5EBF"/>
    <w:rsid w:val="00981548"/>
    <w:rsid w:val="0099549F"/>
    <w:rsid w:val="009C7C25"/>
    <w:rsid w:val="009C7C27"/>
    <w:rsid w:val="009D1E29"/>
    <w:rsid w:val="009D2EA9"/>
    <w:rsid w:val="009D4EA1"/>
    <w:rsid w:val="009D55FF"/>
    <w:rsid w:val="009E6F96"/>
    <w:rsid w:val="009F6112"/>
    <w:rsid w:val="00A404EE"/>
    <w:rsid w:val="00A40D96"/>
    <w:rsid w:val="00A43CF3"/>
    <w:rsid w:val="00A47E5E"/>
    <w:rsid w:val="00B04724"/>
    <w:rsid w:val="00B05A73"/>
    <w:rsid w:val="00B15E40"/>
    <w:rsid w:val="00B45A9B"/>
    <w:rsid w:val="00B556E1"/>
    <w:rsid w:val="00B67C3C"/>
    <w:rsid w:val="00B74C46"/>
    <w:rsid w:val="00B95C86"/>
    <w:rsid w:val="00BA52A2"/>
    <w:rsid w:val="00BB4CAE"/>
    <w:rsid w:val="00BF5398"/>
    <w:rsid w:val="00C25CA1"/>
    <w:rsid w:val="00C74B09"/>
    <w:rsid w:val="00CA0A48"/>
    <w:rsid w:val="00CA2F81"/>
    <w:rsid w:val="00CD60A3"/>
    <w:rsid w:val="00D028D7"/>
    <w:rsid w:val="00D21491"/>
    <w:rsid w:val="00D37D14"/>
    <w:rsid w:val="00D50299"/>
    <w:rsid w:val="00D63C0D"/>
    <w:rsid w:val="00DA32B5"/>
    <w:rsid w:val="00DB592A"/>
    <w:rsid w:val="00DB70F5"/>
    <w:rsid w:val="00DC3802"/>
    <w:rsid w:val="00DD0904"/>
    <w:rsid w:val="00DE240D"/>
    <w:rsid w:val="00E11983"/>
    <w:rsid w:val="00E237D1"/>
    <w:rsid w:val="00E309CD"/>
    <w:rsid w:val="00E336CE"/>
    <w:rsid w:val="00E66B75"/>
    <w:rsid w:val="00E90487"/>
    <w:rsid w:val="00E9511C"/>
    <w:rsid w:val="00EE0D4B"/>
    <w:rsid w:val="00EE4BB8"/>
    <w:rsid w:val="00F223D1"/>
    <w:rsid w:val="00F34965"/>
    <w:rsid w:val="00FE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68CC3"/>
  <w15:chartTrackingRefBased/>
  <w15:docId w15:val="{251EB2C4-5420-49C7-AEE3-339E45B1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2EA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A6E6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A6E6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A6E6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A6E6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A6E6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A6E64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A6E64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A6E6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A6E6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Reference">
    <w:name w:val="Intense Reference"/>
    <w:basedOn w:val="DefaultParagraphFont"/>
    <w:uiPriority w:val="32"/>
    <w:qFormat/>
    <w:rsid w:val="009D2EA9"/>
    <w:rPr>
      <w:b/>
      <w:bCs/>
      <w:smallCaps/>
      <w:color w:val="4472C4" w:themeColor="accent1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E0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0D4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0D4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D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D4B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D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D4B"/>
    <w:rPr>
      <w:rFonts w:ascii="Segoe UI" w:eastAsia="SimSun" w:hAnsi="Segoe UI" w:cs="Segoe UI"/>
      <w:sz w:val="18"/>
      <w:szCs w:val="18"/>
      <w:lang w:val="en-GB" w:eastAsia="en-US"/>
    </w:rPr>
  </w:style>
  <w:style w:type="paragraph" w:styleId="Title">
    <w:name w:val="Title"/>
    <w:basedOn w:val="Normal"/>
    <w:link w:val="TitleChar"/>
    <w:qFormat/>
    <w:rsid w:val="002A6E64"/>
    <w:pPr>
      <w:widowControl w:val="0"/>
      <w:spacing w:after="120"/>
      <w:jc w:val="center"/>
    </w:pPr>
    <w:rPr>
      <w:rFonts w:ascii="Arial" w:eastAsia="MS Mincho" w:hAnsi="Arial"/>
      <w:b/>
      <w:kern w:val="2"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2A6E64"/>
    <w:rPr>
      <w:rFonts w:ascii="Arial" w:eastAsia="MS Mincho" w:hAnsi="Arial" w:cs="Times New Roman"/>
      <w:b/>
      <w:kern w:val="2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rsid w:val="002A6E6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6E64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6E64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2A6E64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A6E64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A6E6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6E6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A6E6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A6E64"/>
    <w:rPr>
      <w:rFonts w:ascii="Arial" w:eastAsia="SimSun" w:hAnsi="Arial" w:cs="Times New Roman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3EQ6UJ4K66FU-4-33471</_dlc_DocId>
    <_dlc_DocIdUrl xmlns="df4eea7b-52db-4162-980b-b352f1b580a3">
      <Url>https://projects.qualcomm.com/sites/meridian/_layouts/15/DocIdRedir.aspx?ID=3EQ6UJ4K66FU-4-33471</Url>
      <Description>3EQ6UJ4K66FU-4-33471</Description>
    </_dlc_DocIdUrl>
    <_dlc_DocIdPersistId xmlns="df4eea7b-52db-4162-980b-b352f1b580a3" xsi:nil="true"/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F235-7BD3-426A-8A1D-590520F1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B8750E-D517-4ABF-A233-3B615E4954A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AE9713-5B01-48B2-8D4A-7289E9AC7414}">
  <ds:schemaRefs>
    <ds:schemaRef ds:uri="http://schemas.microsoft.com/office/2006/metadata/properties"/>
    <ds:schemaRef ds:uri="http://schemas.microsoft.com/office/infopath/2007/PartnerControls"/>
    <ds:schemaRef ds:uri="df4eea7b-52db-4162-980b-b352f1b580a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1B72059-4348-4EDC-802E-3FBD281E29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5B767B-E6DD-4BD1-B779-2FF41BB1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</dc:creator>
  <cp:keywords/>
  <dc:description/>
  <cp:lastModifiedBy>JS</cp:lastModifiedBy>
  <cp:revision>18</cp:revision>
  <dcterms:created xsi:type="dcterms:W3CDTF">2018-11-07T08:07:00Z</dcterms:created>
  <dcterms:modified xsi:type="dcterms:W3CDTF">2018-11-16T01:30:00Z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159e9ec3-5b11-4b71-abe3-7d3255a99ebf</vt:lpwstr>
  </property>
  <property fmtid="{D5CDD505-2E9C-101B-9397-08002B2CF9AE}" pid="3" name="ContentTypeId">
    <vt:lpwstr>0x010100B64640988C4649488F02E0537EA64775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jectsTaxHTField0">
    <vt:lpwstr/>
  </property>
  <property fmtid="{D5CDD505-2E9C-101B-9397-08002B2CF9AE}" pid="14" name="EriCOLLCategoryTaxHTField0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CustomerTaxHTField0">
    <vt:lpwstr/>
  </property>
  <property fmtid="{D5CDD505-2E9C-101B-9397-08002B2CF9AE}" pid="18" name="EriCOLLCountryTaxHTField0">
    <vt:lpwstr/>
  </property>
  <property fmtid="{D5CDD505-2E9C-101B-9397-08002B2CF9AE}" pid="19" name="EriCOLLProcessTaxHTField0">
    <vt:lpwstr/>
  </property>
  <property fmtid="{D5CDD505-2E9C-101B-9397-08002B2CF9AE}" pid="20" name="EriCOLLProductsTaxHTField0">
    <vt:lpwstr/>
  </property>
</Properties>
</file>